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80"/>
        <w:gridCol w:w="3059"/>
        <w:gridCol w:w="5477"/>
      </w:tblGrid>
      <w:tr w:rsidR="00D150C6" w:rsidTr="005725DF">
        <w:tc>
          <w:tcPr>
            <w:tcW w:w="480" w:type="dxa"/>
          </w:tcPr>
          <w:p w:rsidR="00D150C6" w:rsidRPr="005725DF" w:rsidRDefault="00D150C6" w:rsidP="005725DF">
            <w:pPr>
              <w:pStyle w:val="NoSpacing"/>
              <w:rPr>
                <w:b/>
              </w:rPr>
            </w:pPr>
            <w:r w:rsidRPr="005725DF">
              <w:rPr>
                <w:b/>
              </w:rPr>
              <w:t>No</w:t>
            </w:r>
          </w:p>
        </w:tc>
        <w:tc>
          <w:tcPr>
            <w:tcW w:w="3059" w:type="dxa"/>
          </w:tcPr>
          <w:p w:rsidR="00D150C6" w:rsidRPr="005725DF" w:rsidRDefault="00D150C6" w:rsidP="005725DF">
            <w:pPr>
              <w:pStyle w:val="NoSpacing"/>
              <w:rPr>
                <w:b/>
              </w:rPr>
            </w:pPr>
            <w:r w:rsidRPr="005725DF">
              <w:rPr>
                <w:b/>
              </w:rPr>
              <w:t>Law</w:t>
            </w:r>
          </w:p>
        </w:tc>
        <w:tc>
          <w:tcPr>
            <w:tcW w:w="5477" w:type="dxa"/>
          </w:tcPr>
          <w:p w:rsidR="00D150C6" w:rsidRPr="005725DF" w:rsidRDefault="00D150C6" w:rsidP="005725DF">
            <w:pPr>
              <w:pStyle w:val="NoSpacing"/>
              <w:rPr>
                <w:b/>
              </w:rPr>
            </w:pPr>
            <w:r w:rsidRPr="005725DF">
              <w:rPr>
                <w:b/>
              </w:rPr>
              <w:t>Indicative changes/ambitions related to gender equality/SGBV</w:t>
            </w:r>
          </w:p>
        </w:tc>
      </w:tr>
      <w:tr w:rsidR="00D150C6" w:rsidTr="005725DF">
        <w:tc>
          <w:tcPr>
            <w:tcW w:w="480" w:type="dxa"/>
          </w:tcPr>
          <w:p w:rsidR="00D150C6" w:rsidRDefault="00621700" w:rsidP="005725DF">
            <w:pPr>
              <w:pStyle w:val="NoSpacing"/>
            </w:pPr>
            <w:r>
              <w:t>1</w:t>
            </w:r>
            <w:r w:rsidR="00A77DD4">
              <w:t>.</w:t>
            </w:r>
          </w:p>
        </w:tc>
        <w:tc>
          <w:tcPr>
            <w:tcW w:w="3059" w:type="dxa"/>
          </w:tcPr>
          <w:p w:rsidR="00D150C6" w:rsidRDefault="00621700" w:rsidP="005725DF">
            <w:pPr>
              <w:pStyle w:val="NoSpacing"/>
            </w:pPr>
            <w:r>
              <w:t>The constitution of the republic of Rwanda 2003 revised in 2015</w:t>
            </w:r>
          </w:p>
        </w:tc>
        <w:tc>
          <w:tcPr>
            <w:tcW w:w="5477" w:type="dxa"/>
          </w:tcPr>
          <w:p w:rsidR="005725DF" w:rsidRDefault="005725DF" w:rsidP="005725DF">
            <w:pPr>
              <w:pStyle w:val="NoSpacing"/>
            </w:pPr>
            <w:r>
              <w:t xml:space="preserve">- </w:t>
            </w:r>
            <w:r w:rsidR="005D39E3">
              <w:t>Equal right between women and men, women granted at least 30 percent of the posts in decision-making organs</w:t>
            </w:r>
            <w:r w:rsidR="00756DEC">
              <w:t xml:space="preserve"> </w:t>
            </w:r>
            <w:r w:rsidR="001E209F">
              <w:t>(art.10</w:t>
            </w:r>
            <w:r>
              <w:t>)</w:t>
            </w:r>
          </w:p>
          <w:p w:rsidR="005725DF" w:rsidRDefault="005725DF" w:rsidP="005725DF">
            <w:pPr>
              <w:pStyle w:val="NoSpacing"/>
            </w:pPr>
            <w:r>
              <w:t>- 24 O</w:t>
            </w:r>
            <w:r w:rsidR="00191AC7">
              <w:t xml:space="preserve">f the 80 </w:t>
            </w:r>
            <w:r w:rsidR="005D39E3">
              <w:t xml:space="preserve">seats in the chamber of deputies </w:t>
            </w:r>
            <w:r w:rsidR="001E209F">
              <w:t>(the</w:t>
            </w:r>
            <w:r w:rsidR="005D39E3">
              <w:t xml:space="preserve"> legislature) are res</w:t>
            </w:r>
            <w:r>
              <w:t>erved seats for women (art.75)</w:t>
            </w:r>
          </w:p>
          <w:p w:rsidR="00D150C6" w:rsidRDefault="005725DF" w:rsidP="005725DF">
            <w:pPr>
              <w:pStyle w:val="NoSpacing"/>
            </w:pPr>
            <w:r>
              <w:t>- O</w:t>
            </w:r>
            <w:r w:rsidR="005D39E3">
              <w:t xml:space="preserve">nly civil </w:t>
            </w:r>
            <w:r>
              <w:t>monogamous marriages recognized.</w:t>
            </w:r>
          </w:p>
          <w:p w:rsidR="005725DF" w:rsidRDefault="005725DF" w:rsidP="005725DF">
            <w:pPr>
              <w:pStyle w:val="NoSpacing"/>
            </w:pPr>
          </w:p>
          <w:p w:rsidR="00191AC7" w:rsidRDefault="00FB1C3D" w:rsidP="005725DF">
            <w:pPr>
              <w:pStyle w:val="NoSpacing"/>
            </w:pPr>
            <w:hyperlink r:id="rId5" w:history="1">
              <w:r w:rsidR="006000D1">
                <w:rPr>
                  <w:rStyle w:val="Hyperlink"/>
                </w:rPr>
                <w:t>More</w:t>
              </w:r>
            </w:hyperlink>
          </w:p>
        </w:tc>
      </w:tr>
      <w:tr w:rsidR="00D150C6" w:rsidTr="005725DF">
        <w:trPr>
          <w:trHeight w:val="2284"/>
        </w:trPr>
        <w:tc>
          <w:tcPr>
            <w:tcW w:w="480" w:type="dxa"/>
          </w:tcPr>
          <w:p w:rsidR="00D150C6" w:rsidRDefault="00756DEC" w:rsidP="005725DF">
            <w:pPr>
              <w:pStyle w:val="NoSpacing"/>
            </w:pPr>
            <w:r>
              <w:t>2</w:t>
            </w:r>
            <w:r w:rsidR="00A77DD4">
              <w:t>.</w:t>
            </w:r>
          </w:p>
        </w:tc>
        <w:tc>
          <w:tcPr>
            <w:tcW w:w="3059" w:type="dxa"/>
          </w:tcPr>
          <w:p w:rsidR="00D150C6" w:rsidRDefault="00756DEC" w:rsidP="005725DF">
            <w:pPr>
              <w:pStyle w:val="NoSpacing"/>
            </w:pPr>
            <w:r>
              <w:t>Law NO 32/2016 of 28</w:t>
            </w:r>
            <w:r w:rsidR="001959D9" w:rsidRPr="001959D9">
              <w:rPr>
                <w:vertAlign w:val="superscript"/>
              </w:rPr>
              <w:t>th</w:t>
            </w:r>
            <w:r w:rsidR="001959D9">
              <w:t xml:space="preserve"> August </w:t>
            </w:r>
            <w:r>
              <w:t>2016 governing persons and family</w:t>
            </w:r>
          </w:p>
          <w:p w:rsidR="00C749F2" w:rsidRDefault="001959D9" w:rsidP="005725DF">
            <w:pPr>
              <w:pStyle w:val="NoSpacing"/>
            </w:pPr>
            <w:r>
              <w:t>Law NO 27/2016 of 08</w:t>
            </w:r>
            <w:r w:rsidRPr="001959D9">
              <w:rPr>
                <w:vertAlign w:val="superscript"/>
              </w:rPr>
              <w:t>th</w:t>
            </w:r>
            <w:r>
              <w:t xml:space="preserve"> July 2</w:t>
            </w:r>
            <w:r w:rsidR="00C749F2" w:rsidRPr="00C749F2">
              <w:t>016 governing matrimonial regimes donations and successions</w:t>
            </w:r>
          </w:p>
        </w:tc>
        <w:tc>
          <w:tcPr>
            <w:tcW w:w="5477" w:type="dxa"/>
          </w:tcPr>
          <w:p w:rsidR="00D150C6" w:rsidRDefault="005725DF" w:rsidP="005725DF">
            <w:pPr>
              <w:pStyle w:val="NoSpacing"/>
            </w:pPr>
            <w:r>
              <w:t xml:space="preserve">- </w:t>
            </w:r>
            <w:r w:rsidR="001E209F">
              <w:t>Equality in property and inheritance rights between men and women,</w:t>
            </w:r>
            <w:r w:rsidR="004F07D0">
              <w:t xml:space="preserve"> boys and girls</w:t>
            </w:r>
            <w:r>
              <w:t>. (</w:t>
            </w:r>
            <w:r w:rsidR="00A77DD4">
              <w:t>art.</w:t>
            </w:r>
            <w:r>
              <w:t xml:space="preserve"> </w:t>
            </w:r>
            <w:r w:rsidR="00A77DD4">
              <w:t>54 of succession law) see art 218 of family law</w:t>
            </w:r>
            <w:r w:rsidR="00A7140C">
              <w:t>.</w:t>
            </w:r>
          </w:p>
          <w:p w:rsidR="005725DF" w:rsidRDefault="005725DF" w:rsidP="005725DF">
            <w:pPr>
              <w:pStyle w:val="NoSpacing"/>
            </w:pPr>
          </w:p>
          <w:p w:rsidR="00FC6BC9" w:rsidRDefault="00DC495A" w:rsidP="005725DF">
            <w:pPr>
              <w:pStyle w:val="NoSpacing"/>
            </w:pPr>
            <w:r>
              <w:t xml:space="preserve">Read more </w:t>
            </w:r>
            <w:r w:rsidR="00FC6BC9">
              <w:t xml:space="preserve">about the </w:t>
            </w:r>
            <w:r w:rsidR="00A02776">
              <w:t xml:space="preserve">law governing matrimonial regimes donations and successions </w:t>
            </w:r>
            <w:hyperlink r:id="rId6" w:history="1">
              <w:r w:rsidR="00A02776" w:rsidRPr="00A937BB">
                <w:rPr>
                  <w:rStyle w:val="Hyperlink"/>
                </w:rPr>
                <w:t>here</w:t>
              </w:r>
            </w:hyperlink>
          </w:p>
          <w:p w:rsidR="005725DF" w:rsidRDefault="005725DF" w:rsidP="005725DF">
            <w:pPr>
              <w:pStyle w:val="NoSpacing"/>
            </w:pPr>
          </w:p>
          <w:p w:rsidR="00E6667B" w:rsidRDefault="00564DFF" w:rsidP="005725DF">
            <w:pPr>
              <w:pStyle w:val="NoSpacing"/>
            </w:pPr>
            <w:r>
              <w:t>Read more</w:t>
            </w:r>
            <w:r w:rsidR="002C604C">
              <w:t xml:space="preserve"> about the law governing persons and family</w:t>
            </w:r>
            <w:hyperlink r:id="rId7" w:history="1">
              <w:r w:rsidRPr="002C604C">
                <w:rPr>
                  <w:rStyle w:val="Hyperlink"/>
                </w:rPr>
                <w:t xml:space="preserve"> here</w:t>
              </w:r>
            </w:hyperlink>
          </w:p>
        </w:tc>
      </w:tr>
      <w:tr w:rsidR="00D150C6" w:rsidTr="005725DF">
        <w:tc>
          <w:tcPr>
            <w:tcW w:w="480" w:type="dxa"/>
          </w:tcPr>
          <w:p w:rsidR="00D150C6" w:rsidRDefault="00A77DD4" w:rsidP="005725DF">
            <w:pPr>
              <w:pStyle w:val="NoSpacing"/>
            </w:pPr>
            <w:r>
              <w:t>3.</w:t>
            </w:r>
          </w:p>
        </w:tc>
        <w:tc>
          <w:tcPr>
            <w:tcW w:w="3059" w:type="dxa"/>
          </w:tcPr>
          <w:p w:rsidR="00D150C6" w:rsidRDefault="00BE5871" w:rsidP="005725DF">
            <w:pPr>
              <w:pStyle w:val="NoSpacing"/>
            </w:pPr>
            <w:r>
              <w:t>Law NO 54/2011 of 14</w:t>
            </w:r>
            <w:r w:rsidR="008E50A5" w:rsidRPr="008E50A5">
              <w:rPr>
                <w:vertAlign w:val="superscript"/>
              </w:rPr>
              <w:t>th</w:t>
            </w:r>
            <w:r w:rsidR="008E50A5">
              <w:t xml:space="preserve"> </w:t>
            </w:r>
            <w:r w:rsidR="001959D9">
              <w:t xml:space="preserve">December </w:t>
            </w:r>
            <w:r w:rsidR="008E50A5">
              <w:t>2</w:t>
            </w:r>
            <w:r>
              <w:t>011 relating to the rights and the protection of the child</w:t>
            </w:r>
            <w:r w:rsidR="001C58B4">
              <w:t>.</w:t>
            </w:r>
          </w:p>
        </w:tc>
        <w:tc>
          <w:tcPr>
            <w:tcW w:w="5477" w:type="dxa"/>
          </w:tcPr>
          <w:p w:rsidR="005725DF" w:rsidRDefault="005725DF" w:rsidP="005725DF">
            <w:pPr>
              <w:pStyle w:val="NoSpacing"/>
            </w:pPr>
            <w:r>
              <w:t xml:space="preserve">- </w:t>
            </w:r>
            <w:r w:rsidR="00844819">
              <w:t>Woman’s right to grant her nationality to her child, even if the child’s fathe</w:t>
            </w:r>
            <w:r>
              <w:t>r is not of Rwandan nationality.</w:t>
            </w:r>
          </w:p>
          <w:p w:rsidR="00D150C6" w:rsidRDefault="005725DF" w:rsidP="005725DF">
            <w:pPr>
              <w:pStyle w:val="NoSpacing"/>
            </w:pPr>
            <w:r>
              <w:t>- P</w:t>
            </w:r>
            <w:r w:rsidR="001C58B4">
              <w:t>rotection of girls from forced and early marriage.</w:t>
            </w:r>
          </w:p>
          <w:p w:rsidR="005725DF" w:rsidRDefault="005725DF" w:rsidP="005725DF">
            <w:pPr>
              <w:pStyle w:val="NoSpacing"/>
            </w:pPr>
          </w:p>
          <w:p w:rsidR="00161589" w:rsidRDefault="00FB1C3D" w:rsidP="005725DF">
            <w:pPr>
              <w:pStyle w:val="NoSpacing"/>
            </w:pPr>
            <w:hyperlink r:id="rId8" w:history="1">
              <w:r w:rsidR="00DC495A">
                <w:rPr>
                  <w:rStyle w:val="Hyperlink"/>
                </w:rPr>
                <w:t>More</w:t>
              </w:r>
            </w:hyperlink>
          </w:p>
        </w:tc>
      </w:tr>
      <w:tr w:rsidR="00D150C6" w:rsidTr="005725DF">
        <w:tc>
          <w:tcPr>
            <w:tcW w:w="480" w:type="dxa"/>
          </w:tcPr>
          <w:p w:rsidR="00D150C6" w:rsidRDefault="001C58B4" w:rsidP="005725DF">
            <w:pPr>
              <w:pStyle w:val="NoSpacing"/>
            </w:pPr>
            <w:r>
              <w:t>4.</w:t>
            </w:r>
          </w:p>
        </w:tc>
        <w:tc>
          <w:tcPr>
            <w:tcW w:w="3059" w:type="dxa"/>
          </w:tcPr>
          <w:p w:rsidR="00D150C6" w:rsidRDefault="008E50A5" w:rsidP="005725DF">
            <w:pPr>
              <w:pStyle w:val="NoSpacing"/>
            </w:pPr>
            <w:r>
              <w:t>Law NO 43/2013 of 16</w:t>
            </w:r>
            <w:r w:rsidRPr="008E50A5">
              <w:rPr>
                <w:vertAlign w:val="superscript"/>
              </w:rPr>
              <w:t>th</w:t>
            </w:r>
            <w:r>
              <w:t xml:space="preserve"> June</w:t>
            </w:r>
            <w:r w:rsidR="001C58B4">
              <w:t>2013 governing land in Rwanda</w:t>
            </w:r>
          </w:p>
        </w:tc>
        <w:tc>
          <w:tcPr>
            <w:tcW w:w="5477" w:type="dxa"/>
          </w:tcPr>
          <w:p w:rsidR="00D150C6" w:rsidRDefault="005725DF" w:rsidP="005725DF">
            <w:pPr>
              <w:pStyle w:val="NoSpacing"/>
            </w:pPr>
            <w:r>
              <w:t xml:space="preserve">- </w:t>
            </w:r>
            <w:r w:rsidR="0094013E">
              <w:t>Equal land right between men and women; boys and girls.</w:t>
            </w:r>
          </w:p>
          <w:p w:rsidR="005725DF" w:rsidRDefault="005725DF" w:rsidP="005725DF">
            <w:pPr>
              <w:pStyle w:val="NoSpacing"/>
            </w:pPr>
          </w:p>
          <w:p w:rsidR="00230A57" w:rsidRDefault="00FB1C3D" w:rsidP="005725DF">
            <w:pPr>
              <w:pStyle w:val="NoSpacing"/>
            </w:pPr>
            <w:hyperlink r:id="rId9" w:history="1">
              <w:r w:rsidR="00267516">
                <w:rPr>
                  <w:rStyle w:val="Hyperlink"/>
                </w:rPr>
                <w:t>More</w:t>
              </w:r>
            </w:hyperlink>
          </w:p>
        </w:tc>
      </w:tr>
      <w:tr w:rsidR="00D150C6" w:rsidTr="005725DF">
        <w:tc>
          <w:tcPr>
            <w:tcW w:w="480" w:type="dxa"/>
          </w:tcPr>
          <w:p w:rsidR="00D150C6" w:rsidRDefault="0094013E" w:rsidP="005725DF">
            <w:pPr>
              <w:pStyle w:val="NoSpacing"/>
            </w:pPr>
            <w:r>
              <w:t>5.</w:t>
            </w:r>
          </w:p>
        </w:tc>
        <w:tc>
          <w:tcPr>
            <w:tcW w:w="3059" w:type="dxa"/>
          </w:tcPr>
          <w:p w:rsidR="00D150C6" w:rsidRDefault="0094013E" w:rsidP="005725DF">
            <w:pPr>
              <w:pStyle w:val="NoSpacing"/>
            </w:pPr>
            <w:r>
              <w:t>Law NO 59/2008 of 10</w:t>
            </w:r>
            <w:r w:rsidR="00C3729D">
              <w:rPr>
                <w:vertAlign w:val="superscript"/>
              </w:rPr>
              <w:t xml:space="preserve">th </w:t>
            </w:r>
            <w:r w:rsidR="00C3729D">
              <w:t>September 2008, on the prevention and punishment of Gender-based Violence</w:t>
            </w:r>
          </w:p>
        </w:tc>
        <w:tc>
          <w:tcPr>
            <w:tcW w:w="5477" w:type="dxa"/>
          </w:tcPr>
          <w:p w:rsidR="005725DF" w:rsidRDefault="005725DF" w:rsidP="005725DF">
            <w:pPr>
              <w:pStyle w:val="NoSpacing"/>
            </w:pPr>
            <w:r>
              <w:t xml:space="preserve">- </w:t>
            </w:r>
            <w:r w:rsidR="00C3729D">
              <w:t xml:space="preserve">Provides for the protection and relief </w:t>
            </w:r>
            <w:r w:rsidR="00CD73B5">
              <w:t>of victims of</w:t>
            </w:r>
            <w:r>
              <w:t xml:space="preserve"> violence</w:t>
            </w:r>
          </w:p>
          <w:p w:rsidR="005725DF" w:rsidRDefault="005725DF" w:rsidP="005725DF">
            <w:pPr>
              <w:pStyle w:val="NoSpacing"/>
            </w:pPr>
            <w:r>
              <w:t>- R</w:t>
            </w:r>
            <w:r w:rsidR="00CD73B5">
              <w:t>emedies for the punishment of pe</w:t>
            </w:r>
            <w:r>
              <w:t>rpetrators of domestic violence</w:t>
            </w:r>
            <w:r w:rsidR="00CD73B5">
              <w:t xml:space="preserve"> </w:t>
            </w:r>
          </w:p>
          <w:p w:rsidR="005725DF" w:rsidRDefault="005725DF" w:rsidP="005725DF">
            <w:pPr>
              <w:pStyle w:val="NoSpacing"/>
            </w:pPr>
            <w:r>
              <w:t>- P</w:t>
            </w:r>
            <w:r w:rsidR="00CD73B5">
              <w:t>rocedures and guidelines to be followed by courts in relation to punishment, protection and compensation</w:t>
            </w:r>
            <w:r w:rsidR="001166A7">
              <w:t xml:space="preserve"> of victims of violence. </w:t>
            </w:r>
          </w:p>
          <w:p w:rsidR="00D150C6" w:rsidRDefault="001166A7" w:rsidP="005725DF">
            <w:pPr>
              <w:pStyle w:val="NoSpacing"/>
            </w:pPr>
            <w:r>
              <w:t xml:space="preserve">Also provides for several women friendly measures brought up by the law, clear definition and </w:t>
            </w:r>
            <w:r w:rsidR="002D7228">
              <w:t>expansion</w:t>
            </w:r>
            <w:r>
              <w:t xml:space="preserve"> of the notion rap</w:t>
            </w:r>
            <w:r w:rsidR="003B61AA">
              <w:t xml:space="preserve">e. </w:t>
            </w:r>
          </w:p>
          <w:p w:rsidR="005725DF" w:rsidRDefault="005725DF" w:rsidP="005725DF">
            <w:pPr>
              <w:pStyle w:val="NoSpacing"/>
            </w:pPr>
          </w:p>
          <w:p w:rsidR="003B61AA" w:rsidRDefault="00FB1C3D" w:rsidP="005725DF">
            <w:pPr>
              <w:pStyle w:val="NoSpacing"/>
            </w:pPr>
            <w:hyperlink r:id="rId10" w:history="1">
              <w:r w:rsidR="00267516">
                <w:rPr>
                  <w:rStyle w:val="Hyperlink"/>
                </w:rPr>
                <w:t>More</w:t>
              </w:r>
            </w:hyperlink>
          </w:p>
        </w:tc>
      </w:tr>
      <w:tr w:rsidR="00D150C6" w:rsidTr="005725DF">
        <w:tc>
          <w:tcPr>
            <w:tcW w:w="480" w:type="dxa"/>
          </w:tcPr>
          <w:p w:rsidR="00D150C6" w:rsidRDefault="001166A7" w:rsidP="005725DF">
            <w:pPr>
              <w:pStyle w:val="NoSpacing"/>
            </w:pPr>
            <w:r>
              <w:t>6.</w:t>
            </w:r>
          </w:p>
        </w:tc>
        <w:tc>
          <w:tcPr>
            <w:tcW w:w="3059" w:type="dxa"/>
          </w:tcPr>
          <w:p w:rsidR="00D150C6" w:rsidRDefault="001166A7" w:rsidP="005725DF">
            <w:pPr>
              <w:pStyle w:val="NoSpacing"/>
            </w:pPr>
            <w:r>
              <w:t>Law N0 13/2009</w:t>
            </w:r>
            <w:r w:rsidR="002D7228">
              <w:t xml:space="preserve"> of 27</w:t>
            </w:r>
            <w:r w:rsidR="002D7228" w:rsidRPr="002D7228">
              <w:rPr>
                <w:vertAlign w:val="superscript"/>
              </w:rPr>
              <w:t>th</w:t>
            </w:r>
            <w:r w:rsidR="002D7228">
              <w:t xml:space="preserve"> may 2009, Regulating </w:t>
            </w:r>
            <w:proofErr w:type="spellStart"/>
            <w:r w:rsidR="002D7228">
              <w:t>labor</w:t>
            </w:r>
            <w:proofErr w:type="spellEnd"/>
            <w:r w:rsidR="002D7228">
              <w:t xml:space="preserve"> in Rwanda</w:t>
            </w:r>
          </w:p>
        </w:tc>
        <w:tc>
          <w:tcPr>
            <w:tcW w:w="5477" w:type="dxa"/>
          </w:tcPr>
          <w:p w:rsidR="005725DF" w:rsidRDefault="005725DF" w:rsidP="005725DF">
            <w:pPr>
              <w:pStyle w:val="NoSpacing"/>
            </w:pPr>
            <w:r>
              <w:t xml:space="preserve">- </w:t>
            </w:r>
            <w:r w:rsidR="002D7228">
              <w:t xml:space="preserve">Protect workers against </w:t>
            </w:r>
            <w:r w:rsidR="00877EBC" w:rsidRPr="00877EBC">
              <w:t xml:space="preserve">sexual gender-based violence. </w:t>
            </w:r>
          </w:p>
          <w:p w:rsidR="005725DF" w:rsidRDefault="005725DF" w:rsidP="005725DF">
            <w:pPr>
              <w:pStyle w:val="NoSpacing"/>
            </w:pPr>
            <w:r>
              <w:t xml:space="preserve">- </w:t>
            </w:r>
            <w:r w:rsidR="002D7228">
              <w:t>Protection against discrimination in the workplace b</w:t>
            </w:r>
            <w:r>
              <w:t>ased on sex and marital status</w:t>
            </w:r>
          </w:p>
          <w:p w:rsidR="00D150C6" w:rsidRDefault="005725DF" w:rsidP="005725DF">
            <w:pPr>
              <w:pStyle w:val="NoSpacing"/>
            </w:pPr>
            <w:r>
              <w:t>- O</w:t>
            </w:r>
            <w:r w:rsidR="002D7228">
              <w:t xml:space="preserve">utlines maternity leave duration, breastfeeding </w:t>
            </w:r>
            <w:r>
              <w:t>p</w:t>
            </w:r>
            <w:r w:rsidR="00501834">
              <w:t>eriods</w:t>
            </w:r>
            <w:r w:rsidR="002D7228">
              <w:t xml:space="preserve"> </w:t>
            </w:r>
            <w:r>
              <w:t>- R</w:t>
            </w:r>
            <w:r w:rsidR="002D7228">
              <w:t xml:space="preserve">emuneration during maternity and woman’s right to resume work after </w:t>
            </w:r>
            <w:r w:rsidR="00A7140C">
              <w:t>the maternity leave.</w:t>
            </w:r>
          </w:p>
          <w:p w:rsidR="005725DF" w:rsidRDefault="005725DF" w:rsidP="005725DF">
            <w:pPr>
              <w:pStyle w:val="NoSpacing"/>
            </w:pPr>
          </w:p>
          <w:p w:rsidR="00AB706B" w:rsidRDefault="00FB1C3D" w:rsidP="005725DF">
            <w:pPr>
              <w:pStyle w:val="NoSpacing"/>
            </w:pPr>
            <w:hyperlink r:id="rId11" w:history="1">
              <w:r w:rsidR="002A7DAD">
                <w:rPr>
                  <w:rStyle w:val="Hyperlink"/>
                </w:rPr>
                <w:t>More</w:t>
              </w:r>
            </w:hyperlink>
          </w:p>
        </w:tc>
      </w:tr>
      <w:tr w:rsidR="0094013E" w:rsidTr="005725DF">
        <w:tc>
          <w:tcPr>
            <w:tcW w:w="480" w:type="dxa"/>
          </w:tcPr>
          <w:p w:rsidR="0094013E" w:rsidRDefault="00A7140C" w:rsidP="005725DF">
            <w:pPr>
              <w:pStyle w:val="NoSpacing"/>
            </w:pPr>
            <w:r>
              <w:t>7.</w:t>
            </w:r>
          </w:p>
        </w:tc>
        <w:tc>
          <w:tcPr>
            <w:tcW w:w="3059" w:type="dxa"/>
          </w:tcPr>
          <w:p w:rsidR="0094013E" w:rsidRDefault="00A7140C" w:rsidP="005725DF">
            <w:pPr>
              <w:pStyle w:val="NoSpacing"/>
            </w:pPr>
            <w:r>
              <w:t xml:space="preserve">Ministerial order NO 002/08.11 of </w:t>
            </w:r>
            <w:r w:rsidR="008E50A5">
              <w:t>11</w:t>
            </w:r>
            <w:r w:rsidR="008E50A5">
              <w:rPr>
                <w:vertAlign w:val="superscript"/>
              </w:rPr>
              <w:t xml:space="preserve">th </w:t>
            </w:r>
            <w:r w:rsidR="008E50A5">
              <w:t xml:space="preserve">February </w:t>
            </w:r>
            <w:r w:rsidR="00787DFA">
              <w:t xml:space="preserve">2014 on court </w:t>
            </w:r>
            <w:r w:rsidR="00787DFA">
              <w:lastRenderedPageBreak/>
              <w:t>fees in civil, commercial, social and administrative matters</w:t>
            </w:r>
          </w:p>
        </w:tc>
        <w:tc>
          <w:tcPr>
            <w:tcW w:w="5477" w:type="dxa"/>
          </w:tcPr>
          <w:p w:rsidR="0094013E" w:rsidRDefault="005725DF" w:rsidP="005725DF">
            <w:pPr>
              <w:pStyle w:val="NoSpacing"/>
            </w:pPr>
            <w:r>
              <w:lastRenderedPageBreak/>
              <w:t>A</w:t>
            </w:r>
            <w:r w:rsidR="00787DFA">
              <w:t>ll actions relating to the protection of a child’s right and the fight again</w:t>
            </w:r>
            <w:r w:rsidR="00E37550">
              <w:t>st sexual violence are exempted from paying court fees</w:t>
            </w:r>
            <w:r>
              <w:t xml:space="preserve"> (art 2)</w:t>
            </w:r>
            <w:r w:rsidR="00E37550">
              <w:t>.</w:t>
            </w:r>
          </w:p>
          <w:p w:rsidR="0026218A" w:rsidRDefault="00FB1C3D" w:rsidP="005725DF">
            <w:pPr>
              <w:pStyle w:val="NoSpacing"/>
            </w:pPr>
            <w:hyperlink r:id="rId12" w:history="1">
              <w:r w:rsidR="002A7DAD">
                <w:rPr>
                  <w:rStyle w:val="Hyperlink"/>
                </w:rPr>
                <w:t>More</w:t>
              </w:r>
            </w:hyperlink>
          </w:p>
        </w:tc>
      </w:tr>
    </w:tbl>
    <w:p w:rsidR="00BD3849" w:rsidRDefault="00FB1C3D" w:rsidP="005725DF">
      <w:pPr>
        <w:pStyle w:val="NoSpacing"/>
      </w:pPr>
    </w:p>
    <w:p w:rsidR="00AD0174" w:rsidRDefault="00AD0174" w:rsidP="005725DF">
      <w:pPr>
        <w:pStyle w:val="NoSpacing"/>
      </w:pPr>
    </w:p>
    <w:tbl>
      <w:tblPr>
        <w:tblStyle w:val="TableGrid"/>
        <w:tblW w:w="0" w:type="auto"/>
        <w:tblLook w:val="04A0" w:firstRow="1" w:lastRow="0" w:firstColumn="1" w:lastColumn="0" w:noHBand="0" w:noVBand="1"/>
      </w:tblPr>
      <w:tblGrid>
        <w:gridCol w:w="421"/>
        <w:gridCol w:w="3827"/>
        <w:gridCol w:w="4768"/>
      </w:tblGrid>
      <w:tr w:rsidR="00AD0174" w:rsidTr="00AD0174">
        <w:tc>
          <w:tcPr>
            <w:tcW w:w="4248" w:type="dxa"/>
            <w:gridSpan w:val="2"/>
            <w:tcBorders>
              <w:top w:val="single" w:sz="4" w:space="0" w:color="auto"/>
              <w:left w:val="single" w:sz="4" w:space="0" w:color="auto"/>
              <w:bottom w:val="single" w:sz="4" w:space="0" w:color="auto"/>
              <w:right w:val="single" w:sz="4" w:space="0" w:color="auto"/>
            </w:tcBorders>
            <w:hideMark/>
          </w:tcPr>
          <w:p w:rsidR="00AD0174" w:rsidRPr="00AD0174" w:rsidRDefault="00AD0174">
            <w:pPr>
              <w:rPr>
                <w:b/>
              </w:rPr>
            </w:pPr>
            <w:r w:rsidRPr="00AD0174">
              <w:rPr>
                <w:b/>
              </w:rPr>
              <w:t>Policy documents</w:t>
            </w:r>
          </w:p>
        </w:tc>
        <w:tc>
          <w:tcPr>
            <w:tcW w:w="4768" w:type="dxa"/>
            <w:tcBorders>
              <w:top w:val="single" w:sz="4" w:space="0" w:color="auto"/>
              <w:left w:val="single" w:sz="4" w:space="0" w:color="auto"/>
              <w:bottom w:val="single" w:sz="4" w:space="0" w:color="auto"/>
              <w:right w:val="single" w:sz="4" w:space="0" w:color="auto"/>
            </w:tcBorders>
            <w:hideMark/>
          </w:tcPr>
          <w:p w:rsidR="00AD0174" w:rsidRPr="00AD0174" w:rsidRDefault="00AD0174">
            <w:pPr>
              <w:rPr>
                <w:b/>
              </w:rPr>
            </w:pPr>
            <w:r w:rsidRPr="00AD0174">
              <w:rPr>
                <w:b/>
              </w:rPr>
              <w:t>Brief description of changes introduced.</w:t>
            </w:r>
          </w:p>
        </w:tc>
      </w:tr>
      <w:tr w:rsidR="00AD0174" w:rsidTr="00AD0174">
        <w:tc>
          <w:tcPr>
            <w:tcW w:w="421"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1.</w:t>
            </w:r>
          </w:p>
        </w:tc>
        <w:tc>
          <w:tcPr>
            <w:tcW w:w="3827"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National Gender policy (2010)</w:t>
            </w:r>
          </w:p>
        </w:tc>
        <w:tc>
          <w:tcPr>
            <w:tcW w:w="4768"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 xml:space="preserve">Promotion of gender equality and equity through a clearly defined process for mainstreaming gender needs and concerns across all sectors of development. </w:t>
            </w:r>
          </w:p>
          <w:p w:rsidR="00AD0174" w:rsidRDefault="00AD0174" w:rsidP="00AD0174">
            <w:pPr>
              <w:pStyle w:val="NoSpacing"/>
            </w:pPr>
          </w:p>
          <w:p w:rsidR="00AD0174" w:rsidRDefault="00FB1C3D" w:rsidP="00AD0174">
            <w:pPr>
              <w:pStyle w:val="NoSpacing"/>
            </w:pPr>
            <w:hyperlink r:id="rId13" w:history="1">
              <w:r w:rsidR="000551D2">
                <w:rPr>
                  <w:rStyle w:val="Hyperlink"/>
                </w:rPr>
                <w:t>More</w:t>
              </w:r>
            </w:hyperlink>
          </w:p>
        </w:tc>
      </w:tr>
      <w:tr w:rsidR="00AD0174" w:rsidTr="00AD0174">
        <w:tc>
          <w:tcPr>
            <w:tcW w:w="421"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2.</w:t>
            </w:r>
          </w:p>
        </w:tc>
        <w:tc>
          <w:tcPr>
            <w:tcW w:w="3827"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National policy against Gender-based Violence (2011)</w:t>
            </w:r>
          </w:p>
        </w:tc>
        <w:tc>
          <w:tcPr>
            <w:tcW w:w="4768"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Elimination of GBV through the development of a preventive, protective, supportive and transformative environment.</w:t>
            </w:r>
          </w:p>
          <w:p w:rsidR="00AD0174" w:rsidRDefault="00AD0174" w:rsidP="00AD0174">
            <w:pPr>
              <w:pStyle w:val="NoSpacing"/>
            </w:pPr>
          </w:p>
          <w:p w:rsidR="00AD0174" w:rsidRDefault="00FB1C3D" w:rsidP="00AD0174">
            <w:pPr>
              <w:pStyle w:val="NoSpacing"/>
            </w:pPr>
            <w:hyperlink r:id="rId14" w:history="1">
              <w:r w:rsidR="000551D2">
                <w:rPr>
                  <w:rStyle w:val="Hyperlink"/>
                </w:rPr>
                <w:t>More</w:t>
              </w:r>
            </w:hyperlink>
          </w:p>
        </w:tc>
      </w:tr>
      <w:tr w:rsidR="00AD0174" w:rsidTr="00AD0174">
        <w:tc>
          <w:tcPr>
            <w:tcW w:w="421"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3.</w:t>
            </w:r>
          </w:p>
        </w:tc>
        <w:tc>
          <w:tcPr>
            <w:tcW w:w="3827"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National integrated child rights policy (2011)</w:t>
            </w:r>
          </w:p>
        </w:tc>
        <w:tc>
          <w:tcPr>
            <w:tcW w:w="4768"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Creation of an environment in which child’s development, survival, protection and participation are ensured.</w:t>
            </w:r>
          </w:p>
          <w:p w:rsidR="00AD0174" w:rsidRDefault="00AD0174" w:rsidP="00AD0174">
            <w:pPr>
              <w:pStyle w:val="NoSpacing"/>
            </w:pPr>
          </w:p>
          <w:p w:rsidR="00AD0174" w:rsidRDefault="00FB1C3D" w:rsidP="00AD0174">
            <w:pPr>
              <w:pStyle w:val="NoSpacing"/>
            </w:pPr>
            <w:hyperlink r:id="rId15" w:history="1">
              <w:r w:rsidR="000551D2">
                <w:rPr>
                  <w:rStyle w:val="Hyperlink"/>
                </w:rPr>
                <w:t>More</w:t>
              </w:r>
            </w:hyperlink>
          </w:p>
        </w:tc>
      </w:tr>
      <w:tr w:rsidR="00AD0174" w:rsidTr="00AD0174">
        <w:tc>
          <w:tcPr>
            <w:tcW w:w="421"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4.</w:t>
            </w:r>
          </w:p>
        </w:tc>
        <w:tc>
          <w:tcPr>
            <w:tcW w:w="3827"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Gender budgeting guidelines (2008)</w:t>
            </w:r>
          </w:p>
        </w:tc>
        <w:tc>
          <w:tcPr>
            <w:tcW w:w="4768" w:type="dxa"/>
            <w:tcBorders>
              <w:top w:val="single" w:sz="4" w:space="0" w:color="auto"/>
              <w:left w:val="single" w:sz="4" w:space="0" w:color="auto"/>
              <w:bottom w:val="single" w:sz="4" w:space="0" w:color="auto"/>
              <w:right w:val="single" w:sz="4" w:space="0" w:color="auto"/>
            </w:tcBorders>
            <w:hideMark/>
          </w:tcPr>
          <w:p w:rsidR="00AD0174" w:rsidRDefault="00AD0174" w:rsidP="00AD0174">
            <w:pPr>
              <w:pStyle w:val="NoSpacing"/>
            </w:pPr>
            <w:r>
              <w:t>Provision of a framework for gender mainstreaming in the planning and budgeting process, addressing the current deficiencies in gender budgeting providing guidelines for budget agencies and other stakeholders to develop budgets that will address  the objective of gender equality.</w:t>
            </w:r>
          </w:p>
          <w:p w:rsidR="00AD0174" w:rsidRDefault="00AD0174" w:rsidP="00AD0174">
            <w:pPr>
              <w:pStyle w:val="NoSpacing"/>
            </w:pPr>
          </w:p>
          <w:p w:rsidR="00AD0174" w:rsidRDefault="00FB1C3D" w:rsidP="00AD0174">
            <w:pPr>
              <w:pStyle w:val="NoSpacing"/>
            </w:pPr>
            <w:hyperlink r:id="rId16" w:history="1">
              <w:r w:rsidR="000551D2">
                <w:rPr>
                  <w:rStyle w:val="Hyperlink"/>
                </w:rPr>
                <w:t>More</w:t>
              </w:r>
            </w:hyperlink>
          </w:p>
        </w:tc>
      </w:tr>
    </w:tbl>
    <w:p w:rsidR="00AD0174" w:rsidRDefault="00AD0174" w:rsidP="00AD0174"/>
    <w:p w:rsidR="00AD0174" w:rsidRDefault="00AD0174" w:rsidP="00AD0174"/>
    <w:p w:rsidR="00AD0174" w:rsidRDefault="00AD0174" w:rsidP="005725DF">
      <w:pPr>
        <w:pStyle w:val="NoSpacing"/>
      </w:pPr>
      <w:r w:rsidRPr="00AD0174">
        <w:rPr>
          <w:b/>
        </w:rPr>
        <w:t>Source</w:t>
      </w:r>
      <w:r>
        <w:t xml:space="preserve">: Implementation of national GBV policy in </w:t>
      </w:r>
      <w:proofErr w:type="spellStart"/>
      <w:r>
        <w:t>Karongi</w:t>
      </w:r>
      <w:proofErr w:type="spellEnd"/>
      <w:r>
        <w:t xml:space="preserve">, </w:t>
      </w:r>
      <w:proofErr w:type="spellStart"/>
      <w:r>
        <w:t>Nyamasheke</w:t>
      </w:r>
      <w:proofErr w:type="spellEnd"/>
      <w:r>
        <w:t xml:space="preserve">, </w:t>
      </w:r>
      <w:proofErr w:type="spellStart"/>
      <w:r>
        <w:t>Rusizi</w:t>
      </w:r>
      <w:proofErr w:type="spellEnd"/>
      <w:r>
        <w:t xml:space="preserve"> and </w:t>
      </w:r>
      <w:proofErr w:type="spellStart"/>
      <w:r>
        <w:t>Rutsiro</w:t>
      </w:r>
      <w:proofErr w:type="spellEnd"/>
      <w:r>
        <w:t xml:space="preserve"> Districts, a study report Au</w:t>
      </w:r>
      <w:r w:rsidR="00FB1C3D">
        <w:t xml:space="preserve">gust 2017, financed by </w:t>
      </w:r>
      <w:proofErr w:type="spellStart"/>
      <w:r w:rsidR="00FB1C3D">
        <w:t>Ikiraro</w:t>
      </w:r>
      <w:proofErr w:type="spellEnd"/>
      <w:r w:rsidR="00FB1C3D">
        <w:t xml:space="preserve"> </w:t>
      </w:r>
      <w:proofErr w:type="spellStart"/>
      <w:r w:rsidR="00FB1C3D">
        <w:t>cy’i</w:t>
      </w:r>
      <w:r>
        <w:t>terambere</w:t>
      </w:r>
      <w:proofErr w:type="spellEnd"/>
      <w:r w:rsidR="00FB1C3D">
        <w:t>.</w:t>
      </w:r>
      <w:bookmarkStart w:id="0" w:name="_GoBack"/>
      <w:bookmarkEnd w:id="0"/>
    </w:p>
    <w:sectPr w:rsidR="00AD0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D1CF0"/>
    <w:multiLevelType w:val="hybridMultilevel"/>
    <w:tmpl w:val="C06EF214"/>
    <w:lvl w:ilvl="0" w:tplc="2E84EF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B7C2F"/>
    <w:multiLevelType w:val="hybridMultilevel"/>
    <w:tmpl w:val="C58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C6"/>
    <w:rsid w:val="00010A2B"/>
    <w:rsid w:val="000551D2"/>
    <w:rsid w:val="000E12CD"/>
    <w:rsid w:val="00112222"/>
    <w:rsid w:val="001166A7"/>
    <w:rsid w:val="00161589"/>
    <w:rsid w:val="00191AC7"/>
    <w:rsid w:val="001959D9"/>
    <w:rsid w:val="001C58B4"/>
    <w:rsid w:val="001E209F"/>
    <w:rsid w:val="00230A57"/>
    <w:rsid w:val="00254D27"/>
    <w:rsid w:val="0026218A"/>
    <w:rsid w:val="00267516"/>
    <w:rsid w:val="002A7DAD"/>
    <w:rsid w:val="002C604C"/>
    <w:rsid w:val="002D7228"/>
    <w:rsid w:val="002F19C6"/>
    <w:rsid w:val="003B61AA"/>
    <w:rsid w:val="004E0C70"/>
    <w:rsid w:val="004F07D0"/>
    <w:rsid w:val="004F4C87"/>
    <w:rsid w:val="004F4FDC"/>
    <w:rsid w:val="00501834"/>
    <w:rsid w:val="00525852"/>
    <w:rsid w:val="005559A1"/>
    <w:rsid w:val="00564DFF"/>
    <w:rsid w:val="005725DF"/>
    <w:rsid w:val="005D39E3"/>
    <w:rsid w:val="006000D1"/>
    <w:rsid w:val="00621700"/>
    <w:rsid w:val="006A046C"/>
    <w:rsid w:val="00736229"/>
    <w:rsid w:val="00756DEC"/>
    <w:rsid w:val="00787DFA"/>
    <w:rsid w:val="00844819"/>
    <w:rsid w:val="00877EBC"/>
    <w:rsid w:val="008E50A5"/>
    <w:rsid w:val="00910788"/>
    <w:rsid w:val="0094013E"/>
    <w:rsid w:val="00A02776"/>
    <w:rsid w:val="00A7140C"/>
    <w:rsid w:val="00A77DD4"/>
    <w:rsid w:val="00A937BB"/>
    <w:rsid w:val="00AB706B"/>
    <w:rsid w:val="00AD0174"/>
    <w:rsid w:val="00B75D17"/>
    <w:rsid w:val="00BA135B"/>
    <w:rsid w:val="00BE526A"/>
    <w:rsid w:val="00BE5871"/>
    <w:rsid w:val="00BF24AD"/>
    <w:rsid w:val="00BF2DE0"/>
    <w:rsid w:val="00C3729D"/>
    <w:rsid w:val="00C749F2"/>
    <w:rsid w:val="00CD73B5"/>
    <w:rsid w:val="00D150C6"/>
    <w:rsid w:val="00DC495A"/>
    <w:rsid w:val="00E37550"/>
    <w:rsid w:val="00E6667B"/>
    <w:rsid w:val="00FB1C3D"/>
    <w:rsid w:val="00FC6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4A19D-A238-414C-8C19-69224C6A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09F"/>
    <w:pPr>
      <w:ind w:left="720"/>
      <w:contextualSpacing/>
    </w:pPr>
  </w:style>
  <w:style w:type="character" w:styleId="Hyperlink">
    <w:name w:val="Hyperlink"/>
    <w:basedOn w:val="DefaultParagraphFont"/>
    <w:uiPriority w:val="99"/>
    <w:unhideWhenUsed/>
    <w:rsid w:val="004F4FDC"/>
    <w:rPr>
      <w:color w:val="0563C1" w:themeColor="hyperlink"/>
      <w:u w:val="single"/>
    </w:rPr>
  </w:style>
  <w:style w:type="character" w:styleId="FollowedHyperlink">
    <w:name w:val="FollowedHyperlink"/>
    <w:basedOn w:val="DefaultParagraphFont"/>
    <w:uiPriority w:val="99"/>
    <w:semiHidden/>
    <w:unhideWhenUsed/>
    <w:rsid w:val="00254D27"/>
    <w:rPr>
      <w:color w:val="954F72" w:themeColor="followedHyperlink"/>
      <w:u w:val="single"/>
    </w:rPr>
  </w:style>
  <w:style w:type="paragraph" w:styleId="NoSpacing">
    <w:name w:val="No Spacing"/>
    <w:uiPriority w:val="1"/>
    <w:qFormat/>
    <w:rsid w:val="0057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just.gov.rw/fileadmin/Laws_and_Regulations/ITEGEKO_UMWANA.pdf" TargetMode="External"/><Relationship Id="rId13" Type="http://schemas.openxmlformats.org/officeDocument/2006/relationships/hyperlink" Target="http://gmo.gov.rw/fileadmin/user_upload/Laws/National_Gender_Policy_July_201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ijust.gov.rw/fileadmin/Law_and_Regulations/Umuryango_ITEGEKO_RIGENGA_ABANTU_N_UMURYANGO.pdf" TargetMode="External"/><Relationship Id="rId12" Type="http://schemas.openxmlformats.org/officeDocument/2006/relationships/hyperlink" Target="http://gmo.gov.rw/fileadmin/user_upload/Laws/MINISTERIAL_ORDER__N0_002.08.11_of_11.02.2014__O.G_Sp_12.02.2014_P.44-Court_fees__Art.2_par.4_-court_fees_in_civil_matter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geprof.gov.rw/fileadmin/_migrated/content_uploads/GENDER_BUDGETING_GUIDELINES-2.pdf" TargetMode="External"/><Relationship Id="rId1" Type="http://schemas.openxmlformats.org/officeDocument/2006/relationships/numbering" Target="numbering.xml"/><Relationship Id="rId6" Type="http://schemas.openxmlformats.org/officeDocument/2006/relationships/hyperlink" Target="http://www.minijust.gov.rw/fileadmin/Law_and_Regulations/Official_Gazette_no_31_of_01.08.2016.pdf" TargetMode="External"/><Relationship Id="rId11" Type="http://schemas.openxmlformats.org/officeDocument/2006/relationships/hyperlink" Target="http://www.minijust.gov.rw/fileadmin/Law_and_Regulations/CODE_DU_TRAVAIL_AU_RWANDA.pdf" TargetMode="External"/><Relationship Id="rId5" Type="http://schemas.openxmlformats.org/officeDocument/2006/relationships/hyperlink" Target="http://www.minijust.gov.rw/fileadmin/Law_and_Regulations/Official_Gazette_no_Special_of_24.12.2015__2___1_.pdf" TargetMode="External"/><Relationship Id="rId15" Type="http://schemas.openxmlformats.org/officeDocument/2006/relationships/hyperlink" Target="https://www.unicef.org/rwanda/RWA_resources_icrpolicy.pdf" TargetMode="External"/><Relationship Id="rId10" Type="http://schemas.openxmlformats.org/officeDocument/2006/relationships/hyperlink" Target="http://gmo.gov.rw/fileadmin/user_upload/Laws/Law_No59-2008_on_the_Prevention_and_Punishment_of_Gender-Based_Violence.pdf" TargetMode="External"/><Relationship Id="rId4" Type="http://schemas.openxmlformats.org/officeDocument/2006/relationships/webSettings" Target="webSettings.xml"/><Relationship Id="rId9" Type="http://schemas.openxmlformats.org/officeDocument/2006/relationships/hyperlink" Target="http://www.minijust.gov.rw/fileadmin/Laws_and_Regulations/ITEGEKO_RY_UBUTAKA.pdf" TargetMode="External"/><Relationship Id="rId14" Type="http://schemas.openxmlformats.org/officeDocument/2006/relationships/hyperlink" Target="http://www.migeprof.gov.rw/fileadmin/_migrated/content_uploads/GBV_Policy-2_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dc:creator>
  <cp:keywords/>
  <dc:description/>
  <cp:lastModifiedBy>Jan Willem</cp:lastModifiedBy>
  <cp:revision>7</cp:revision>
  <dcterms:created xsi:type="dcterms:W3CDTF">2018-04-18T07:40:00Z</dcterms:created>
  <dcterms:modified xsi:type="dcterms:W3CDTF">2018-04-20T09:52:00Z</dcterms:modified>
</cp:coreProperties>
</file>